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1" w:type="dxa"/>
        <w:tblInd w:w="96" w:type="dxa"/>
        <w:tblLook w:val="04A0"/>
      </w:tblPr>
      <w:tblGrid>
        <w:gridCol w:w="440"/>
        <w:gridCol w:w="9211"/>
      </w:tblGrid>
      <w:tr w:rsidR="00165D14" w:rsidRPr="00165D14" w:rsidTr="00165D14">
        <w:trPr>
          <w:trHeight w:val="315"/>
        </w:trPr>
        <w:tc>
          <w:tcPr>
            <w:tcW w:w="9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65D1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DEPARTMENT OF ELECTRICAL ENGINEERING</w:t>
            </w:r>
          </w:p>
        </w:tc>
      </w:tr>
      <w:tr w:rsidR="00165D14" w:rsidRPr="00165D14" w:rsidTr="00165D14">
        <w:trPr>
          <w:trHeight w:val="300"/>
        </w:trPr>
        <w:tc>
          <w:tcPr>
            <w:tcW w:w="9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5D14">
              <w:rPr>
                <w:rFonts w:ascii="Calibri" w:eastAsia="Times New Roman" w:hAnsi="Calibri" w:cs="Calibri"/>
                <w:b/>
                <w:bCs/>
                <w:color w:val="000000"/>
              </w:rPr>
              <w:t>SUBJECT: EC&amp;A(TH 2 )                                                                                                                       SEMESTER:5TH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Basic Introduction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Basics 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Scenario: Primary and Secondary Energy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 Energy demand and supply, National scenario.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conservation and Energy audit; concepts and difference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Indian Electricity Act 2001; relevant clauses of energy conservation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BEE and its Roles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MEDA and its Roles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Star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Labelling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>: Need and its benefits.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in Electrical Machines: Need for energy conservation in induction motor 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Need for energy conservation in transformer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techniquesin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induction motor by Improving Power quality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Motor survey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Matching motor with loading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Minimizing the idle and redundant running of motor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Operating in star mode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 Rewinding of motor, Replacement by energy efficient motor , Periodic maintenance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conservation techniques in Transformer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 Loading sharing , Isolating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techniques,periodic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maintainance</w:t>
            </w:r>
            <w:proofErr w:type="spellEnd"/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Parallel operation  of transformer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Equipment: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Softstarters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>, Automatic star delta convertor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Equipment:Variable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Frequency Drives, Automatic p. f. controller (APFC), 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Equipment:Intelligent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p. f. controller (IPFC)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efficient motor; significant features, advantages, applications and limitations. </w:t>
            </w:r>
          </w:p>
        </w:tc>
      </w:tr>
      <w:tr w:rsidR="00165D14" w:rsidRPr="00165D14" w:rsidTr="00165D1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efficient transformers, amorphous transformers; epoxy Resin cast transformer / Dry type of transformer</w:t>
            </w:r>
          </w:p>
        </w:tc>
      </w:tr>
      <w:tr w:rsidR="00165D14" w:rsidRPr="00165D14" w:rsidTr="00165D14">
        <w:trPr>
          <w:trHeight w:val="15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in Electrical Installation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systems</w:t>
            </w:r>
            <w:proofErr w:type="gramStart"/>
            <w:r w:rsidRPr="00165D14">
              <w:rPr>
                <w:rFonts w:ascii="Calibri" w:eastAsia="Times New Roman" w:hAnsi="Calibri" w:cs="Calibri"/>
                <w:color w:val="000000"/>
              </w:rPr>
              <w:t>:Technical</w:t>
            </w:r>
            <w:proofErr w:type="spellEnd"/>
            <w:proofErr w:type="gram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losses; causes and measures to reduce by.</w:t>
            </w:r>
            <w:r w:rsidRPr="00165D14">
              <w:rPr>
                <w:rFonts w:ascii="Calibri" w:eastAsia="Times New Roman" w:hAnsi="Calibri" w:cs="Calibri"/>
                <w:color w:val="000000"/>
              </w:rPr>
              <w:br/>
              <w:t>a) Controlling I2R losses.</w:t>
            </w:r>
            <w:r w:rsidRPr="00165D14">
              <w:rPr>
                <w:rFonts w:ascii="Calibri" w:eastAsia="Times New Roman" w:hAnsi="Calibri" w:cs="Calibri"/>
                <w:color w:val="000000"/>
              </w:rPr>
              <w:br/>
              <w:t>b) Optimizing distribution voltage</w:t>
            </w:r>
          </w:p>
        </w:tc>
      </w:tr>
      <w:tr w:rsidR="00165D14" w:rsidRPr="00165D14" w:rsidTr="00165D1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c) Balancing phase currents</w:t>
            </w:r>
            <w:r w:rsidRPr="00165D14">
              <w:rPr>
                <w:rFonts w:ascii="Calibri" w:eastAsia="Times New Roman" w:hAnsi="Calibri" w:cs="Calibri"/>
                <w:color w:val="000000"/>
              </w:rPr>
              <w:br/>
              <w:t>d) Compensating reactive power flow</w:t>
            </w:r>
          </w:p>
        </w:tc>
      </w:tr>
      <w:tr w:rsidR="00165D14" w:rsidRPr="00165D14" w:rsidTr="00165D1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equipment: Maximum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DemandController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,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kVAR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Controller, Automatic Power Factor controller(APFC)</w:t>
            </w:r>
          </w:p>
        </w:tc>
      </w:tr>
      <w:tr w:rsidR="00165D14" w:rsidRPr="00165D14" w:rsidTr="00165D14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Energy Conservation in Lighting </w:t>
            </w:r>
            <w:proofErr w:type="gramStart"/>
            <w:r w:rsidRPr="00165D14">
              <w:rPr>
                <w:rFonts w:ascii="Calibri" w:eastAsia="Times New Roman" w:hAnsi="Calibri" w:cs="Calibri"/>
                <w:color w:val="000000"/>
              </w:rPr>
              <w:t>System  :</w:t>
            </w:r>
            <w:proofErr w:type="gram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                                                                              a) Replacing Lamp sources.</w:t>
            </w:r>
            <w:r w:rsidRPr="00165D14">
              <w:rPr>
                <w:rFonts w:ascii="Calibri" w:eastAsia="Times New Roman" w:hAnsi="Calibri" w:cs="Calibri"/>
                <w:color w:val="000000"/>
              </w:rPr>
              <w:br/>
              <w:t>b) Using energy efficient luminaries.</w:t>
            </w:r>
          </w:p>
        </w:tc>
      </w:tr>
      <w:tr w:rsidR="00165D14" w:rsidRPr="00165D14" w:rsidTr="00165D14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lastRenderedPageBreak/>
              <w:t>30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c) Using light controlled gears. d) Installation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ofseparate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transformer /servo stabilizer for lighting. e) Periodic survey and adequate maintenance programs. Energy Conservation 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techniquesin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fans, Electronic regulators.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Co-generation and Tariff; concept, significance for energy conservation</w:t>
            </w:r>
          </w:p>
        </w:tc>
      </w:tr>
      <w:tr w:rsidR="00165D14" w:rsidRPr="00165D14" w:rsidTr="00165D1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 xml:space="preserve">Co-generation , Types of cogeneration on basis of sequence of energy use (Topping cycle, Bottoming cycle) </w:t>
            </w:r>
          </w:p>
        </w:tc>
      </w:tr>
      <w:tr w:rsidR="00165D14" w:rsidRPr="00165D14" w:rsidTr="00165D1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Types of cogeneration basis of technology (Steam turbine cogeneration, Gas turbine cogeneration, Reciprocating engine cogeneration).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Factors governing the selection of cogeneration system, Advantages of cogeneration.</w:t>
            </w:r>
          </w:p>
        </w:tc>
      </w:tr>
      <w:tr w:rsidR="00165D14" w:rsidRPr="00165D14" w:rsidTr="00165D1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Tariff: Types of tariff structure: Special tariffs; Time-off-day tariff, Peak-off-day tariff, Power factor tariff, Maximum Demand tariff, Load factor tariff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Application of tariff system to reduce energy bill.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audit (definition as per Energy Conservation Act)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audit instruments and their use.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Questionnaire for energy audit projects.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Questionnaire for energy audit projects.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flow diagram (</w:t>
            </w:r>
            <w:proofErr w:type="spellStart"/>
            <w:r w:rsidRPr="00165D14">
              <w:rPr>
                <w:rFonts w:ascii="Calibri" w:eastAsia="Times New Roman" w:hAnsi="Calibri" w:cs="Calibri"/>
                <w:color w:val="000000"/>
              </w:rPr>
              <w:t>Sankey</w:t>
            </w:r>
            <w:proofErr w:type="spellEnd"/>
            <w:r w:rsidRPr="00165D14">
              <w:rPr>
                <w:rFonts w:ascii="Calibri" w:eastAsia="Times New Roman" w:hAnsi="Calibri" w:cs="Calibri"/>
                <w:color w:val="000000"/>
              </w:rPr>
              <w:t xml:space="preserve"> diagram)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Simple payback period, Energy Audit procedure (walk through audit and detailed audit).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audit procedure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Audit report format.</w:t>
            </w:r>
          </w:p>
        </w:tc>
      </w:tr>
      <w:tr w:rsidR="00165D14" w:rsidRPr="00165D14" w:rsidTr="00165D1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D14" w:rsidRPr="00165D14" w:rsidRDefault="00165D14" w:rsidP="00165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5D14">
              <w:rPr>
                <w:rFonts w:ascii="Calibri" w:eastAsia="Times New Roman" w:hAnsi="Calibri" w:cs="Calibri"/>
                <w:color w:val="000000"/>
              </w:rPr>
              <w:t>Energy Audit report format.</w:t>
            </w:r>
          </w:p>
        </w:tc>
      </w:tr>
    </w:tbl>
    <w:p w:rsidR="0052572E" w:rsidRDefault="0052572E"/>
    <w:sectPr w:rsidR="0052572E" w:rsidSect="00165D14">
      <w:pgSz w:w="12240" w:h="15840"/>
      <w:pgMar w:top="1440" w:right="245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165D14"/>
    <w:rsid w:val="00165D14"/>
    <w:rsid w:val="0052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GPBGH</dc:creator>
  <cp:keywords/>
  <dc:description/>
  <cp:lastModifiedBy>GPBGH</cp:lastModifiedBy>
  <cp:revision>2</cp:revision>
  <dcterms:created xsi:type="dcterms:W3CDTF">2026-08-04T07:24:00Z</dcterms:created>
  <dcterms:modified xsi:type="dcterms:W3CDTF">2026-08-04T07:26:00Z</dcterms:modified>
</cp:coreProperties>
</file>